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8"/>
        <w:gridCol w:w="2222"/>
      </w:tblGrid>
      <w:tr xmlns:wp14="http://schemas.microsoft.com/office/word/2010/wordml" w:rsidRPr="00C664E5" w:rsidR="0043454D" w:rsidTr="003B6014" w14:paraId="6EF2854B" wp14:textId="77777777">
        <w:tc>
          <w:tcPr>
            <w:tcW w:w="8578" w:type="dxa"/>
          </w:tcPr>
          <w:p w:rsidRPr="00C664E5" w:rsidR="0043454D" w:rsidP="003B6014" w:rsidRDefault="003B6014" w14:paraId="45FE31BF" wp14:textId="77777777">
            <w:pPr>
              <w:pStyle w:val="CompanyName"/>
              <w:jc w:val="center"/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                      Summer Literacy Infusion Readiness Checklist</w:t>
            </w:r>
          </w:p>
        </w:tc>
        <w:tc>
          <w:tcPr>
            <w:tcW w:w="2222" w:type="dxa"/>
          </w:tcPr>
          <w:p w:rsidRPr="00C664E5" w:rsidR="0043454D" w:rsidP="0043454D" w:rsidRDefault="0043454D" w14:paraId="672A6659" wp14:textId="77777777">
            <w:pPr>
              <w:pStyle w:val="Logo"/>
              <w:rPr>
                <w:rFonts w:ascii="Verdana" w:hAnsi="Verdana"/>
              </w:rPr>
            </w:pPr>
          </w:p>
        </w:tc>
      </w:tr>
    </w:tbl>
    <w:p xmlns:wp14="http://schemas.microsoft.com/office/word/2010/wordml" w:rsidR="00C664E5" w:rsidP="003B6014" w:rsidRDefault="00C664E5" w14:paraId="0A37501D" wp14:textId="77777777">
      <w:pPr>
        <w:rPr>
          <w:rFonts w:ascii="Verdana" w:hAnsi="Verdana"/>
          <w:i/>
          <w:color w:val="1F497D" w:themeColor="text2"/>
        </w:rPr>
      </w:pPr>
    </w:p>
    <w:p xmlns:wp14="http://schemas.microsoft.com/office/word/2010/wordml" w:rsidRPr="00492A72" w:rsidR="003B6014" w:rsidP="003B6014" w:rsidRDefault="003B6014" w14:paraId="28341E43" wp14:textId="77777777">
      <w:pPr>
        <w:rPr>
          <w:rFonts w:ascii="Verdana" w:hAnsi="Verdana"/>
          <w:i/>
          <w:color w:val="C00000"/>
        </w:rPr>
      </w:pPr>
      <w:r w:rsidRPr="00492A72">
        <w:rPr>
          <w:rFonts w:ascii="Verdana" w:hAnsi="Verdana"/>
          <w:i/>
          <w:color w:val="C00000"/>
        </w:rPr>
        <w:t>Agencies can use this brief self-assessment in order to determine readiness to adopt summer infusion practices. These factors were found to support strong implementation</w:t>
      </w:r>
      <w:r w:rsidRPr="00492A72">
        <w:rPr>
          <w:rFonts w:ascii="Verdana" w:hAnsi="Verdana"/>
          <w:i/>
          <w:color w:val="C00000"/>
        </w:rPr>
        <w:t xml:space="preserve"> during the pilot phase, but all boxes do not need to be checked in order to begin integrating literacy practices. </w:t>
      </w:r>
      <w:bookmarkStart w:name="_GoBack" w:id="0"/>
      <w:bookmarkEnd w:id="0"/>
    </w:p>
    <w:p xmlns:wp14="http://schemas.microsoft.com/office/word/2010/wordml" w:rsidRPr="00C664E5" w:rsidR="0043454D" w:rsidRDefault="0043454D" w14:paraId="5DAB6C7B" wp14:textId="77777777">
      <w:pPr>
        <w:rPr>
          <w:rFonts w:ascii="Verdana" w:hAnsi="Verdana"/>
        </w:rPr>
      </w:pPr>
    </w:p>
    <w:tbl>
      <w:tblPr>
        <w:tblStyle w:val="TableGrid"/>
        <w:tblW w:w="5000" w:type="pct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2"/>
        <w:gridCol w:w="10206"/>
      </w:tblGrid>
      <w:tr xmlns:wp14="http://schemas.microsoft.com/office/word/2010/wordml" w:rsidRPr="00C664E5" w:rsidR="00A24EA4" w:rsidTr="004F33F2" w14:paraId="45ACC5A5" wp14:textId="77777777">
        <w:tc>
          <w:tcPr>
            <w:tcW w:w="569" w:type="dxa"/>
            <w:tcBorders>
              <w:righ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02EB378F" wp14:textId="77777777">
            <w:pPr>
              <w:rPr>
                <w:rFonts w:ascii="Verdana" w:hAnsi="Verdana"/>
                <w:b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A24EA4" w:rsidRDefault="00A24EA4" w14:paraId="35255EF5" wp14:textId="77777777">
            <w:pPr>
              <w:rPr>
                <w:rFonts w:ascii="Verdana" w:hAnsi="Verdana"/>
                <w:b/>
              </w:rPr>
            </w:pPr>
            <w:r w:rsidRPr="00C664E5">
              <w:rPr>
                <w:rFonts w:ascii="Verdana" w:hAnsi="Verdana"/>
                <w:b/>
              </w:rPr>
              <w:t>Leadership</w:t>
            </w:r>
          </w:p>
        </w:tc>
      </w:tr>
      <w:tr xmlns:wp14="http://schemas.microsoft.com/office/word/2010/wordml" w:rsidRPr="00C664E5" w:rsidR="00A24EA4" w:rsidTr="00A24EA4" w14:paraId="62BF6AF3" wp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099F79F7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8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A24EA4" w:rsidRDefault="00A24EA4" w14:paraId="05CC513D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Do the strategic and operational leaders of your organization support adoption of the initiative? </w:t>
            </w:r>
          </w:p>
        </w:tc>
      </w:tr>
      <w:tr xmlns:wp14="http://schemas.microsoft.com/office/word/2010/wordml" w:rsidRPr="00C664E5" w:rsidR="00A24EA4" w:rsidTr="004F33F2" w14:paraId="5C58AE9B" wp14:textId="77777777">
        <w:tc>
          <w:tcPr>
            <w:tcW w:w="569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4D8F0F5C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157CA0" w:rsidRDefault="00A24EA4" w14:paraId="02FD64DC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Are organizational leaders willing to invest resources (time and dollars) into adoption and quality implementation? </w:t>
            </w:r>
          </w:p>
        </w:tc>
      </w:tr>
      <w:tr xmlns:wp14="http://schemas.microsoft.com/office/word/2010/wordml" w:rsidRPr="00C664E5" w:rsidR="00A24EA4" w:rsidTr="004F33F2" w14:paraId="10C6A01E" wp14:textId="77777777">
        <w:tc>
          <w:tcPr>
            <w:tcW w:w="569" w:type="dxa"/>
            <w:tcBorders>
              <w:righ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6A05A809" wp14:textId="77777777">
            <w:pPr>
              <w:rPr>
                <w:rFonts w:ascii="Verdana" w:hAnsi="Verdana"/>
                <w:b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7C42A8" w:rsidRDefault="00A24EA4" w14:paraId="1B3EB434" wp14:textId="77777777">
            <w:pPr>
              <w:rPr>
                <w:rFonts w:ascii="Verdana" w:hAnsi="Verdana"/>
                <w:b/>
              </w:rPr>
            </w:pPr>
            <w:r w:rsidRPr="00C664E5">
              <w:rPr>
                <w:rFonts w:ascii="Verdana" w:hAnsi="Verdana"/>
                <w:b/>
              </w:rPr>
              <w:t>Staff</w:t>
            </w:r>
          </w:p>
        </w:tc>
      </w:tr>
      <w:tr xmlns:wp14="http://schemas.microsoft.com/office/word/2010/wordml" w:rsidRPr="00C664E5" w:rsidR="00A24EA4" w:rsidTr="00A24EA4" w14:paraId="423124B4" wp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713E8F5A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A24EA4" w:rsidRDefault="00A24EA4" w14:paraId="611CD42A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Are staff who work directly with youth open to change and willing to embrace new practices? </w:t>
            </w:r>
          </w:p>
        </w:tc>
      </w:tr>
      <w:tr xmlns:wp14="http://schemas.microsoft.com/office/word/2010/wordml" w:rsidRPr="00C664E5" w:rsidR="00A24EA4" w:rsidTr="00A24EA4" w14:paraId="260B5358" wp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7856258D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36A8F606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>Do staff display effective behavior management techniques? (group control, managing transitions)</w:t>
            </w:r>
          </w:p>
        </w:tc>
      </w:tr>
      <w:tr xmlns:wp14="http://schemas.microsoft.com/office/word/2010/wordml" w:rsidRPr="00C664E5" w:rsidR="00A24EA4" w:rsidTr="00A24EA4" w14:paraId="0C75327C" wp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084C1507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38CC8037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Do staff have time on a daily or weekly basis to plan and organize activities and materials? </w:t>
            </w:r>
          </w:p>
        </w:tc>
      </w:tr>
      <w:tr xmlns:wp14="http://schemas.microsoft.com/office/word/2010/wordml" w:rsidRPr="00C664E5" w:rsidR="00A24EA4" w:rsidTr="004F33F2" w14:paraId="4ADA38DC" wp14:textId="77777777">
        <w:tc>
          <w:tcPr>
            <w:tcW w:w="569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1D4412B4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39891568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>Is your staff to student ratio small enough to facilitate activities? (recommendation is ≤1:12)</w:t>
            </w:r>
          </w:p>
        </w:tc>
      </w:tr>
      <w:tr xmlns:wp14="http://schemas.microsoft.com/office/word/2010/wordml" w:rsidRPr="00C664E5" w:rsidR="00A24EA4" w:rsidTr="004F33F2" w14:paraId="57EA3EE1" wp14:textId="77777777">
        <w:tc>
          <w:tcPr>
            <w:tcW w:w="569" w:type="dxa"/>
            <w:tcBorders>
              <w:righ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5A39BBE3" wp14:textId="77777777">
            <w:pPr>
              <w:rPr>
                <w:rFonts w:ascii="Verdana" w:hAnsi="Verdana"/>
                <w:b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7C42A8" w:rsidRDefault="00A24EA4" w14:paraId="20D9EEC7" wp14:textId="77777777">
            <w:pPr>
              <w:rPr>
                <w:rFonts w:ascii="Verdana" w:hAnsi="Verdana"/>
                <w:b/>
              </w:rPr>
            </w:pPr>
            <w:r w:rsidRPr="00C664E5">
              <w:rPr>
                <w:rFonts w:ascii="Verdana" w:hAnsi="Verdana"/>
                <w:b/>
              </w:rPr>
              <w:t>Schedule</w:t>
            </w:r>
          </w:p>
        </w:tc>
      </w:tr>
      <w:tr xmlns:wp14="http://schemas.microsoft.com/office/word/2010/wordml" w:rsidRPr="00C664E5" w:rsidR="00A24EA4" w:rsidTr="00A24EA4" w14:paraId="09953A5D" wp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4BC6DC9A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C664E5" w:rsidRDefault="00492A72" w14:paraId="25117281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>Is there room in your daily camp schedule to add 60 minutes of li</w:t>
            </w:r>
            <w:r w:rsidRPr="00C664E5">
              <w:rPr>
                <w:rFonts w:ascii="Verdana" w:hAnsi="Verdana"/>
              </w:rPr>
              <w:t>teracy activities (one 60 minute block</w:t>
            </w:r>
            <w:r w:rsidRPr="00C664E5">
              <w:rPr>
                <w:rFonts w:ascii="Verdana" w:hAnsi="Verdana"/>
              </w:rPr>
              <w:t xml:space="preserve"> or three 20 minute blocks)? </w:t>
            </w:r>
          </w:p>
        </w:tc>
      </w:tr>
      <w:tr xmlns:wp14="http://schemas.microsoft.com/office/word/2010/wordml" w:rsidRPr="00C664E5" w:rsidR="00A24EA4" w:rsidTr="004F33F2" w14:paraId="265BD2A2" wp14:textId="77777777">
        <w:tc>
          <w:tcPr>
            <w:tcW w:w="569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12227702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3B6014" w:rsidRDefault="003B6014" w14:paraId="61D9CE14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>Can the infusion time be “protected” so that it is implemented consistently?</w:t>
            </w:r>
          </w:p>
        </w:tc>
      </w:tr>
      <w:tr xmlns:wp14="http://schemas.microsoft.com/office/word/2010/wordml" w:rsidRPr="00C664E5" w:rsidR="003B6014" w:rsidTr="004F33F2" w14:paraId="7C7255D6" wp14:textId="77777777">
        <w:tc>
          <w:tcPr>
            <w:tcW w:w="569" w:type="dxa"/>
            <w:tcBorders>
              <w:righ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RDefault="003B6014" w14:paraId="41C8F396" wp14:textId="77777777">
            <w:pPr>
              <w:rPr>
                <w:rFonts w:ascii="Verdana" w:hAnsi="Verdana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P="007C42A8" w:rsidRDefault="003B6014" w14:paraId="51AB15C9" wp14:textId="77777777">
            <w:pPr>
              <w:rPr>
                <w:rFonts w:ascii="Verdana" w:hAnsi="Verdana"/>
                <w:b/>
              </w:rPr>
            </w:pPr>
            <w:r w:rsidRPr="00C664E5">
              <w:rPr>
                <w:rFonts w:ascii="Verdana" w:hAnsi="Verdana"/>
                <w:b/>
              </w:rPr>
              <w:t>Environment</w:t>
            </w:r>
          </w:p>
        </w:tc>
      </w:tr>
      <w:tr xmlns:wp14="http://schemas.microsoft.com/office/word/2010/wordml" w:rsidRPr="00C664E5" w:rsidR="00A24EA4" w:rsidTr="00A24EA4" w14:paraId="1845A54D" wp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1D082CB4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3B6014" w:rsidRDefault="00492A72" w14:paraId="583121F7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Is there a camp space conducive to reading, </w:t>
            </w:r>
            <w:r w:rsidRPr="00C664E5">
              <w:rPr>
                <w:rFonts w:ascii="Verdana" w:hAnsi="Verdana"/>
              </w:rPr>
              <w:t xml:space="preserve">including </w:t>
            </w:r>
            <w:r w:rsidRPr="00C664E5">
              <w:rPr>
                <w:rFonts w:ascii="Verdana" w:hAnsi="Verdana"/>
              </w:rPr>
              <w:t>both</w:t>
            </w:r>
            <w:r w:rsidRPr="00C664E5">
              <w:rPr>
                <w:rFonts w:ascii="Verdana" w:hAnsi="Verdana"/>
              </w:rPr>
              <w:t xml:space="preserve"> students</w:t>
            </w:r>
            <w:r w:rsidRPr="00C664E5">
              <w:rPr>
                <w:rFonts w:ascii="Verdana" w:hAnsi="Verdana"/>
              </w:rPr>
              <w:t xml:space="preserve"> listening to a read aloud and reading independently? (low noise volume, spa</w:t>
            </w:r>
            <w:r w:rsidRPr="00C664E5">
              <w:rPr>
                <w:rFonts w:ascii="Verdana" w:hAnsi="Verdana"/>
              </w:rPr>
              <w:t xml:space="preserve">ce for kids to spread out with </w:t>
            </w:r>
            <w:r w:rsidRPr="00C664E5">
              <w:rPr>
                <w:rFonts w:ascii="Verdana" w:hAnsi="Verdana"/>
              </w:rPr>
              <w:t>book</w:t>
            </w:r>
            <w:r w:rsidRPr="00C664E5">
              <w:rPr>
                <w:rFonts w:ascii="Verdana" w:hAnsi="Verdana"/>
              </w:rPr>
              <w:t>s</w:t>
            </w:r>
            <w:r w:rsidRPr="00C664E5">
              <w:rPr>
                <w:rFonts w:ascii="Verdana" w:hAnsi="Verdana"/>
              </w:rPr>
              <w:t>, etc.)</w:t>
            </w:r>
          </w:p>
        </w:tc>
      </w:tr>
      <w:tr xmlns:wp14="http://schemas.microsoft.com/office/word/2010/wordml" w:rsidRPr="00C664E5" w:rsidR="00A24EA4" w:rsidTr="004F33F2" w14:paraId="682E7A03" wp14:textId="77777777">
        <w:tc>
          <w:tcPr>
            <w:tcW w:w="569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360AF6C8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7C42A8" w:rsidRDefault="003B6014" w14:paraId="5A64E7FC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Is there space to store materials so they will remain organized and secure? </w:t>
            </w:r>
          </w:p>
        </w:tc>
      </w:tr>
      <w:tr xmlns:wp14="http://schemas.microsoft.com/office/word/2010/wordml" w:rsidRPr="00C664E5" w:rsidR="003B6014" w:rsidTr="004F33F2" w14:paraId="6BA0B493" wp14:textId="77777777">
        <w:tc>
          <w:tcPr>
            <w:tcW w:w="569" w:type="dxa"/>
            <w:tcBorders>
              <w:righ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RDefault="003B6014" w14:paraId="72A3D3EC" wp14:textId="77777777">
            <w:pPr>
              <w:rPr>
                <w:rFonts w:ascii="Verdana" w:hAnsi="Verdana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P="007C42A8" w:rsidRDefault="003B6014" w14:paraId="443CCECD" wp14:textId="77777777">
            <w:pPr>
              <w:rPr>
                <w:rFonts w:ascii="Verdana" w:hAnsi="Verdana"/>
                <w:b/>
              </w:rPr>
            </w:pPr>
            <w:r w:rsidRPr="00C664E5">
              <w:rPr>
                <w:rFonts w:ascii="Verdana" w:hAnsi="Verdana"/>
                <w:b/>
              </w:rPr>
              <w:t>Training</w:t>
            </w:r>
          </w:p>
        </w:tc>
      </w:tr>
      <w:tr xmlns:wp14="http://schemas.microsoft.com/office/word/2010/wordml" w:rsidRPr="00C664E5" w:rsidR="00A24EA4" w:rsidTr="00A24EA4" w14:paraId="009105F1" wp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3D9EA80E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3B6014" w:rsidRDefault="00492A72" w14:paraId="0DBDBFF3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Can </w:t>
            </w:r>
            <w:r w:rsidRPr="00C664E5">
              <w:rPr>
                <w:rFonts w:ascii="Verdana" w:hAnsi="Verdana"/>
              </w:rPr>
              <w:t>frontline</w:t>
            </w:r>
            <w:r w:rsidRPr="00C664E5">
              <w:rPr>
                <w:rFonts w:ascii="Verdana" w:hAnsi="Verdana"/>
              </w:rPr>
              <w:t xml:space="preserve"> and leadership staff attend </w:t>
            </w:r>
            <w:r w:rsidRPr="00C664E5">
              <w:rPr>
                <w:rFonts w:ascii="Verdana" w:hAnsi="Verdana"/>
              </w:rPr>
              <w:t>infusion</w:t>
            </w:r>
            <w:r w:rsidRPr="00C664E5">
              <w:rPr>
                <w:rFonts w:ascii="Verdana" w:hAnsi="Verdana"/>
              </w:rPr>
              <w:t xml:space="preserve"> </w:t>
            </w:r>
            <w:r w:rsidRPr="00C664E5">
              <w:rPr>
                <w:rFonts w:ascii="Verdana" w:hAnsi="Verdana"/>
              </w:rPr>
              <w:t>training? (</w:t>
            </w:r>
            <w:r w:rsidRPr="00C664E5">
              <w:rPr>
                <w:rFonts w:ascii="Verdana" w:hAnsi="Verdana"/>
              </w:rPr>
              <w:t>consider</w:t>
            </w:r>
            <w:r w:rsidRPr="00C664E5">
              <w:rPr>
                <w:rFonts w:ascii="Verdana" w:hAnsi="Verdana"/>
              </w:rPr>
              <w:t xml:space="preserve"> </w:t>
            </w:r>
            <w:r w:rsidRPr="00C664E5">
              <w:rPr>
                <w:rFonts w:ascii="Verdana" w:hAnsi="Verdana"/>
              </w:rPr>
              <w:t>time and payment for training</w:t>
            </w:r>
            <w:r w:rsidRPr="00C664E5">
              <w:rPr>
                <w:rFonts w:ascii="Verdana" w:hAnsi="Verdana"/>
              </w:rPr>
              <w:t>)</w:t>
            </w:r>
            <w:r w:rsidRPr="00C664E5">
              <w:rPr>
                <w:rFonts w:ascii="Verdana" w:hAnsi="Verdana"/>
              </w:rPr>
              <w:t xml:space="preserve"> </w:t>
            </w:r>
          </w:p>
        </w:tc>
      </w:tr>
      <w:tr xmlns:wp14="http://schemas.microsoft.com/office/word/2010/wordml" w:rsidRPr="00C664E5" w:rsidR="00A24EA4" w:rsidTr="004F33F2" w14:paraId="52329F4D" wp14:textId="77777777">
        <w:tc>
          <w:tcPr>
            <w:tcW w:w="569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FA7A52" w:rsidRDefault="00A24EA4" w14:paraId="424DF7F7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7C42A8" w:rsidRDefault="003B6014" w14:paraId="61BACA9A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Is there at least one staff within your organization who can attend training and become an expert on infusion practices to train other staff? </w:t>
            </w:r>
          </w:p>
        </w:tc>
      </w:tr>
      <w:tr xmlns:wp14="http://schemas.microsoft.com/office/word/2010/wordml" w:rsidRPr="00C664E5" w:rsidR="003B6014" w:rsidTr="004F33F2" w14:paraId="1494E2EA" wp14:textId="77777777">
        <w:tc>
          <w:tcPr>
            <w:tcW w:w="569" w:type="dxa"/>
            <w:tcBorders>
              <w:righ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RDefault="003B6014" w14:paraId="0D0B940D" wp14:textId="77777777">
            <w:pPr>
              <w:rPr>
                <w:rFonts w:ascii="Verdana" w:hAnsi="Verdana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P="007C42A8" w:rsidRDefault="003B6014" w14:paraId="26DD9C94" wp14:textId="77777777">
            <w:pPr>
              <w:rPr>
                <w:rFonts w:ascii="Verdana" w:hAnsi="Verdana"/>
                <w:b/>
              </w:rPr>
            </w:pPr>
            <w:r w:rsidRPr="00C664E5">
              <w:rPr>
                <w:rFonts w:ascii="Verdana" w:hAnsi="Verdana"/>
                <w:b/>
              </w:rPr>
              <w:t>Resources</w:t>
            </w:r>
          </w:p>
        </w:tc>
      </w:tr>
      <w:tr xmlns:wp14="http://schemas.microsoft.com/office/word/2010/wordml" w:rsidRPr="00C664E5" w:rsidR="00A24EA4" w:rsidTr="00A24EA4" w14:paraId="16C8C217" wp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6F7EB898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3B6014" w:rsidRDefault="00492A72" w14:paraId="4BE15093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Does your agency already have the </w:t>
            </w:r>
            <w:r w:rsidRPr="00C664E5">
              <w:rPr>
                <w:rFonts w:ascii="Verdana" w:hAnsi="Verdana"/>
              </w:rPr>
              <w:t>materials</w:t>
            </w:r>
            <w:r w:rsidRPr="00C664E5">
              <w:rPr>
                <w:rFonts w:ascii="Verdana" w:hAnsi="Verdana"/>
              </w:rPr>
              <w:t xml:space="preserve"> needed to support activities? (</w:t>
            </w:r>
            <w:r w:rsidRPr="00C664E5">
              <w:rPr>
                <w:rFonts w:ascii="Verdana" w:hAnsi="Verdana"/>
              </w:rPr>
              <w:t xml:space="preserve">K-3 </w:t>
            </w:r>
            <w:r w:rsidRPr="00C664E5">
              <w:rPr>
                <w:rFonts w:ascii="Verdana" w:hAnsi="Verdana"/>
              </w:rPr>
              <w:t>books</w:t>
            </w:r>
            <w:r w:rsidRPr="00C664E5">
              <w:rPr>
                <w:rFonts w:ascii="Verdana" w:hAnsi="Verdana"/>
              </w:rPr>
              <w:t>, rug or carpeted area for students to sit during read aloud,</w:t>
            </w:r>
            <w:r w:rsidRPr="00C664E5">
              <w:rPr>
                <w:rFonts w:ascii="Verdana" w:hAnsi="Verdana"/>
              </w:rPr>
              <w:t xml:space="preserve"> literacy games,</w:t>
            </w:r>
            <w:r w:rsidRPr="00C664E5">
              <w:rPr>
                <w:rFonts w:ascii="Verdana" w:hAnsi="Verdana"/>
              </w:rPr>
              <w:t xml:space="preserve"> etc.) </w:t>
            </w:r>
            <w:r w:rsidRPr="00C664E5">
              <w:rPr>
                <w:rFonts w:ascii="Verdana" w:hAnsi="Verdana"/>
              </w:rPr>
              <w:t xml:space="preserve"> </w:t>
            </w:r>
          </w:p>
        </w:tc>
      </w:tr>
      <w:tr xmlns:wp14="http://schemas.microsoft.com/office/word/2010/wordml" w:rsidRPr="00C664E5" w:rsidR="00A24EA4" w:rsidTr="004F33F2" w14:paraId="088929A5" wp14:textId="77777777">
        <w:tc>
          <w:tcPr>
            <w:tcW w:w="569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7E2D28BE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C664E5" w:rsidRDefault="003B6014" w14:paraId="7206CDEC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>If</w:t>
            </w:r>
            <w:r w:rsidR="00C664E5">
              <w:rPr>
                <w:rFonts w:ascii="Verdana" w:hAnsi="Verdana"/>
              </w:rPr>
              <w:t xml:space="preserve"> not, does your agency have funds</w:t>
            </w:r>
            <w:r w:rsidRPr="00C664E5">
              <w:rPr>
                <w:rFonts w:ascii="Verdana" w:hAnsi="Verdana"/>
              </w:rPr>
              <w:t xml:space="preserve"> to purchase materials?  </w:t>
            </w:r>
          </w:p>
        </w:tc>
      </w:tr>
      <w:tr xmlns:wp14="http://schemas.microsoft.com/office/word/2010/wordml" w:rsidRPr="00C664E5" w:rsidR="003B6014" w:rsidTr="004F33F2" w14:paraId="07473B72" wp14:textId="77777777">
        <w:tc>
          <w:tcPr>
            <w:tcW w:w="569" w:type="dxa"/>
            <w:tcBorders>
              <w:righ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RDefault="003B6014" w14:paraId="0E27B00A" wp14:textId="77777777">
            <w:pPr>
              <w:rPr>
                <w:rFonts w:ascii="Verdana" w:hAnsi="Verdana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P="007C42A8" w:rsidRDefault="003B6014" w14:paraId="28AF01C0" wp14:textId="77777777">
            <w:pPr>
              <w:rPr>
                <w:rFonts w:ascii="Verdana" w:hAnsi="Verdana"/>
                <w:b/>
              </w:rPr>
            </w:pPr>
            <w:r w:rsidRPr="00C664E5">
              <w:rPr>
                <w:rFonts w:ascii="Verdana" w:hAnsi="Verdana"/>
                <w:b/>
              </w:rPr>
              <w:t>Oversight of Implementation</w:t>
            </w:r>
          </w:p>
        </w:tc>
      </w:tr>
      <w:tr xmlns:wp14="http://schemas.microsoft.com/office/word/2010/wordml" w:rsidRPr="00C664E5" w:rsidR="003B6014" w:rsidTr="00C664E5" w14:paraId="67309A66" wp14:textId="77777777">
        <w:tc>
          <w:tcPr>
            <w:tcW w:w="569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RDefault="003B6014" w14:paraId="56194A08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>
              <w:rPr>
                <w:rFonts w:ascii="Verdana" w:hAnsi="Verdana"/>
              </w:rPr>
            </w:r>
            <w:r w:rsidRPr="00C664E5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Borders>
              <w:bottom w:val="single" w:color="D9D9D9" w:themeColor="background1" w:themeShade="D9" w:sz="4" w:space="0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P="007C42A8" w:rsidRDefault="00492A72" w14:paraId="1473C628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>Is there a champion/owner inside you</w:t>
            </w:r>
            <w:r w:rsidRPr="00C664E5">
              <w:rPr>
                <w:rFonts w:ascii="Verdana" w:hAnsi="Verdana"/>
              </w:rPr>
              <w:t xml:space="preserve">r organization who has influence </w:t>
            </w:r>
            <w:r w:rsidRPr="00C664E5">
              <w:rPr>
                <w:rFonts w:ascii="Verdana" w:hAnsi="Verdana"/>
              </w:rPr>
              <w:t xml:space="preserve">and </w:t>
            </w:r>
            <w:r w:rsidRPr="00C664E5">
              <w:rPr>
                <w:rFonts w:ascii="Verdana" w:hAnsi="Verdana"/>
              </w:rPr>
              <w:t xml:space="preserve">can take responsibility for overseeing quality implementation? (Is there someone who will be held accountable for success in their performance goals?)  </w:t>
            </w:r>
          </w:p>
        </w:tc>
      </w:tr>
      <w:tr xmlns:wp14="http://schemas.microsoft.com/office/word/2010/wordml" w:rsidRPr="00C664E5" w:rsidR="003B6014" w:rsidTr="00C664E5" w14:paraId="451AD528" wp14:textId="77777777">
        <w:tc>
          <w:tcPr>
            <w:tcW w:w="569" w:type="dxa"/>
            <w:tcBorders>
              <w:righ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RDefault="003B6014" w14:paraId="60061E4C" wp14:textId="77777777">
            <w:pPr>
              <w:rPr>
                <w:rFonts w:ascii="Verdana" w:hAnsi="Verdana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BFBFBF" w:themeFill="background1" w:themeFillShade="BF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P="007C42A8" w:rsidRDefault="003B6014" w14:paraId="65303C4A" wp14:textId="77777777">
            <w:pPr>
              <w:rPr>
                <w:rFonts w:ascii="Verdana" w:hAnsi="Verdana"/>
                <w:b/>
              </w:rPr>
            </w:pPr>
            <w:r w:rsidRPr="00C664E5">
              <w:rPr>
                <w:rFonts w:ascii="Verdana" w:hAnsi="Verdana"/>
                <w:b/>
              </w:rPr>
              <w:t xml:space="preserve">Family </w:t>
            </w:r>
          </w:p>
        </w:tc>
      </w:tr>
      <w:tr xmlns:wp14="http://schemas.microsoft.com/office/word/2010/wordml" w:rsidRPr="00C664E5" w:rsidR="003B6014" w:rsidTr="00A24EA4" w14:paraId="2D521E81" wp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RDefault="003B6014" w14:paraId="01FC1D2E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>
              <w:rPr>
                <w:rFonts w:ascii="Verdana" w:hAnsi="Verdana"/>
              </w:rPr>
            </w:r>
            <w:r w:rsidRPr="00C664E5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3B6014" w:rsidP="003B6014" w:rsidRDefault="00492A72" w14:paraId="6A642A0C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>Will there be an opportunity to educate families about the</w:t>
            </w:r>
            <w:r w:rsidRPr="00C664E5">
              <w:rPr>
                <w:rFonts w:ascii="Verdana" w:hAnsi="Verdana"/>
              </w:rPr>
              <w:t xml:space="preserve"> initiative</w:t>
            </w:r>
            <w:r w:rsidRPr="00C664E5">
              <w:rPr>
                <w:rFonts w:ascii="Verdana" w:hAnsi="Verdana"/>
              </w:rPr>
              <w:t>?</w:t>
            </w:r>
          </w:p>
        </w:tc>
      </w:tr>
      <w:tr xmlns:wp14="http://schemas.microsoft.com/office/word/2010/wordml" w:rsidRPr="00C664E5" w:rsidR="00A24EA4" w:rsidTr="00A24EA4" w14:paraId="1BAC75B2" wp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RDefault="00A24EA4" w14:paraId="5034CE81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E5">
              <w:rPr>
                <w:rFonts w:ascii="Verdana" w:hAnsi="Verdana"/>
              </w:rPr>
              <w:instrText xml:space="preserve"> FORMCHECKBOX </w:instrText>
            </w:r>
            <w:r w:rsidRPr="00C664E5" w:rsidR="00492A72">
              <w:rPr>
                <w:rFonts w:ascii="Verdana" w:hAnsi="Verdana"/>
              </w:rPr>
            </w:r>
            <w:r w:rsidRPr="00C664E5" w:rsidR="00492A72">
              <w:rPr>
                <w:rFonts w:ascii="Verdana" w:hAnsi="Verdana"/>
              </w:rPr>
              <w:fldChar w:fldCharType="separate"/>
            </w:r>
            <w:r w:rsidRPr="00C664E5">
              <w:rPr>
                <w:rFonts w:ascii="Verdana" w:hAnsi="Verdana"/>
              </w:rPr>
              <w:fldChar w:fldCharType="end"/>
            </w:r>
          </w:p>
        </w:tc>
        <w:tc>
          <w:tcPr>
            <w:tcW w:w="891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Pr="00C664E5" w:rsidR="00A24EA4" w:rsidP="007C42A8" w:rsidRDefault="003B6014" w14:paraId="2BA5EBB8" wp14:textId="77777777">
            <w:pPr>
              <w:rPr>
                <w:rFonts w:ascii="Verdana" w:hAnsi="Verdana"/>
              </w:rPr>
            </w:pPr>
            <w:r w:rsidRPr="00C664E5">
              <w:rPr>
                <w:rFonts w:ascii="Verdana" w:hAnsi="Verdana"/>
              </w:rPr>
              <w:t xml:space="preserve">Will campers’ parents be supportive of including academic activities in the camp?  </w:t>
            </w:r>
          </w:p>
        </w:tc>
      </w:tr>
    </w:tbl>
    <w:p xmlns:wp14="http://schemas.microsoft.com/office/word/2010/wordml" w:rsidRPr="00C664E5" w:rsidR="007C42A8" w:rsidP="2CC3B4C6" w:rsidRDefault="007C42A8" w14:paraId="44EAFD9C" wp14:textId="77777777" wp14:noSpellErr="1">
      <w:pPr>
        <w:rPr>
          <w:rFonts w:ascii="Verdana" w:hAnsi="Verdana"/>
        </w:rPr>
      </w:pPr>
    </w:p>
    <w:p w:rsidR="2CC3B4C6" w:rsidP="2CC3B4C6" w:rsidRDefault="2CC3B4C6" w14:noSpellErr="1" w14:paraId="75D080FC" w14:textId="16624BCD">
      <w:pPr>
        <w:pStyle w:val="Normal"/>
        <w:rPr>
          <w:rFonts w:ascii="Verdana" w:hAnsi="Verdana"/>
        </w:rPr>
      </w:pPr>
    </w:p>
    <w:p w:rsidR="2CC3B4C6" w:rsidP="2CC3B4C6" w:rsidRDefault="2CC3B4C6" w14:paraId="5A862578" w14:textId="5EABF4B3">
      <w:pPr>
        <w:pStyle w:val="Normal"/>
        <w:jc w:val="center"/>
      </w:pPr>
      <w:r>
        <w:drawing>
          <wp:inline wp14:editId="01FE61B6" wp14:anchorId="60A5343F">
            <wp:extent cx="800100" cy="742950"/>
            <wp:effectExtent l="0" t="0" r="0" b="0"/>
            <wp:docPr id="31034844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9bd9f43400a42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E643A45" wp14:anchorId="1A10B6D1">
            <wp:extent cx="2571750" cy="647700"/>
            <wp:effectExtent l="0" t="0" r="0" b="0"/>
            <wp:docPr id="149395417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91bf8b550e442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C664E5" w:rsidR="007C42A8" w:rsidSect="003B6014">
      <w:footerReference w:type="default" r:id="rId9"/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24EA4" w:rsidRDefault="00A24EA4" w14:paraId="4B94D5A5" wp14:textId="77777777">
      <w:r>
        <w:separator/>
      </w:r>
    </w:p>
  </w:endnote>
  <w:endnote w:type="continuationSeparator" w:id="0">
    <w:p xmlns:wp14="http://schemas.microsoft.com/office/word/2010/wordml" w:rsidR="00A24EA4" w:rsidRDefault="00A24EA4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A7A52" w:rsidRDefault="00FA7A52" w14:paraId="049F31CB" wp14:textId="7777777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24EA4" w:rsidRDefault="00A24EA4" w14:paraId="3656B9AB" wp14:textId="77777777">
      <w:r>
        <w:separator/>
      </w:r>
    </w:p>
  </w:footnote>
  <w:footnote w:type="continuationSeparator" w:id="0">
    <w:p xmlns:wp14="http://schemas.microsoft.com/office/word/2010/wordml" w:rsidR="00A24EA4" w:rsidRDefault="00A24EA4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hint="default" w:ascii="Wingdings" w:hAnsi="Wingdings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4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B6014"/>
    <w:rsid w:val="003F04D9"/>
    <w:rsid w:val="00407240"/>
    <w:rsid w:val="0041607A"/>
    <w:rsid w:val="0043454D"/>
    <w:rsid w:val="00454615"/>
    <w:rsid w:val="004567F4"/>
    <w:rsid w:val="00464875"/>
    <w:rsid w:val="0048031C"/>
    <w:rsid w:val="00492A72"/>
    <w:rsid w:val="004B0AE9"/>
    <w:rsid w:val="004F33F2"/>
    <w:rsid w:val="00522532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24EA4"/>
    <w:rsid w:val="00A45F9E"/>
    <w:rsid w:val="00A50321"/>
    <w:rsid w:val="00A51E9F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664E5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  <w:rsid w:val="2CC3B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DC1FC"/>
  <w15:docId w15:val="{b63d26ec-af45-4ec1-8a12-8a33391e1c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cs="Arial"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ogo" w:customStyle="1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image" Target="/media/image.jpg" Id="R99bd9f43400a42d2" /><Relationship Type="http://schemas.openxmlformats.org/officeDocument/2006/relationships/image" Target="/media/image2.jpg" Id="R991bf8b550e442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lkinson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New Company Setup Checklist.dotx</ap:Template>
  <ap:Application>Microsoft Office Word</ap:Application>
  <ap:DocSecurity>0</ap:DocSecurity>
  <ap:ScaleCrop>false</ap:ScaleCrop>
  <ap:Company>YMCA of Greater Charlotte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company setup checklist</dc:title>
  <dc:creator>Wilkinson, Amanda</dc:creator>
  <lastModifiedBy>Wilkinson, Amanda</lastModifiedBy>
  <revision>4</revision>
  <lastPrinted>2005-08-26T17:15:00.0000000Z</lastPrinted>
  <dcterms:created xsi:type="dcterms:W3CDTF">2019-02-04T19:21:00.0000000Z</dcterms:created>
  <dcterms:modified xsi:type="dcterms:W3CDTF">2019-02-22T02:02:51.4950216Z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